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spacing w:beforeAutospacing="0" w:afterAutospacing="0" w:line="120" w:lineRule="auto"/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宋体"/>
          <w:color w:val="000000" w:themeColor="text1"/>
          <w:sz w:val="22"/>
          <w:szCs w:val="22"/>
          <w14:textFill>
            <w14:solidFill>
              <w14:schemeClr w14:val="tx1"/>
            </w14:solidFill>
          </w14:textFill>
        </w:rPr>
        <w:t>附件：</w:t>
      </w:r>
    </w:p>
    <w:p>
      <w:pPr>
        <w:pStyle w:val="5"/>
        <w:spacing w:beforeAutospacing="0" w:afterAutospacing="0" w:line="500" w:lineRule="exact"/>
        <w:ind w:firstLine="640" w:firstLineChars="200"/>
        <w:jc w:val="center"/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东丽区张贵庄路增兴窑3号地块项目（1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~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20号楼、配建一及地下车库）</w:t>
      </w:r>
      <w:r>
        <w:rPr>
          <w:rFonts w:hint="eastAsia" w:ascii="方正小标宋简体" w:hAnsi="方正小标宋简体" w:eastAsia="方正小标宋简体" w:cs="方正小标宋简体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绿色建筑标识项目概况</w:t>
      </w:r>
    </w:p>
    <w:tbl>
      <w:tblPr>
        <w:tblStyle w:val="6"/>
        <w:tblpPr w:leftFromText="180" w:rightFromText="180" w:vertAnchor="text" w:horzAnchor="page" w:tblpX="1496" w:tblpY="121"/>
        <w:tblOverlap w:val="never"/>
        <w:tblW w:w="14177" w:type="dxa"/>
        <w:tblInd w:w="0" w:type="dxa"/>
        <w:tblBorders>
          <w:top w:val="none" w:color="auto" w:sz="6" w:space="0"/>
          <w:left w:val="none" w:color="auto" w:sz="6" w:space="0"/>
          <w:bottom w:val="none" w:color="auto" w:sz="6" w:space="0"/>
          <w:right w:val="none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99"/>
        <w:gridCol w:w="2388"/>
        <w:gridCol w:w="4287"/>
        <w:gridCol w:w="1824"/>
        <w:gridCol w:w="2818"/>
        <w:gridCol w:w="1461"/>
      </w:tblGrid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59" w:hRule="exact"/>
        </w:trPr>
        <w:tc>
          <w:tcPr>
            <w:tcW w:w="1399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项目类型</w:t>
            </w:r>
          </w:p>
        </w:tc>
        <w:tc>
          <w:tcPr>
            <w:tcW w:w="238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项目名称</w:t>
            </w:r>
          </w:p>
        </w:tc>
        <w:tc>
          <w:tcPr>
            <w:tcW w:w="428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申报单位</w:t>
            </w:r>
          </w:p>
        </w:tc>
        <w:tc>
          <w:tcPr>
            <w:tcW w:w="18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项目所在地</w:t>
            </w:r>
          </w:p>
        </w:tc>
        <w:tc>
          <w:tcPr>
            <w:tcW w:w="28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申报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面积（万平方米）</w:t>
            </w:r>
          </w:p>
        </w:tc>
        <w:tc>
          <w:tcPr>
            <w:tcW w:w="146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sz w:val="28"/>
                <w:szCs w:val="28"/>
              </w:rPr>
            </w:pPr>
            <w:r>
              <w:rPr>
                <w:rFonts w:hint="eastAsia"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标识</w:t>
            </w: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星级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59" w:hRule="atLeast"/>
        </w:trPr>
        <w:tc>
          <w:tcPr>
            <w:tcW w:w="1399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住宅建筑</w:t>
            </w:r>
          </w:p>
        </w:tc>
        <w:tc>
          <w:tcPr>
            <w:tcW w:w="238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东丽区张贵庄路增兴窑3号地块项目（1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~</w:t>
            </w:r>
            <w:r>
              <w:rPr>
                <w:rFonts w:hint="eastAsia" w:asciiTheme="majorEastAsia" w:hAnsiTheme="majorEastAsia" w:eastAsiaTheme="majorEastAsia" w:cstheme="majorEastAsia"/>
                <w:lang w:eastAsia="zh-CN"/>
              </w:rPr>
              <w:t>20号楼、配建一及地下车库）</w:t>
            </w:r>
          </w:p>
        </w:tc>
        <w:tc>
          <w:tcPr>
            <w:tcW w:w="4287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天津东辉产创有限</w:t>
            </w:r>
            <w:r>
              <w:rPr>
                <w:rFonts w:hint="eastAsia" w:asciiTheme="majorEastAsia" w:hAnsiTheme="majorEastAsia" w:eastAsiaTheme="majorEastAsia" w:cstheme="majorEastAsia"/>
              </w:rPr>
              <w:t>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天津建科建筑节能环境检测有限公司</w:t>
            </w:r>
          </w:p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</w:t>
            </w:r>
            <w:r>
              <w:rPr>
                <w:rFonts w:hint="eastAsia" w:asciiTheme="majorEastAsia" w:hAnsiTheme="majorEastAsia" w:eastAsiaTheme="majorEastAsia" w:cstheme="majorEastAsia"/>
                <w:lang w:val="en-US" w:eastAsia="zh-CN"/>
              </w:rPr>
              <w:t>住宅科学研究院</w:t>
            </w:r>
            <w:r>
              <w:rPr>
                <w:rFonts w:hint="eastAsia" w:asciiTheme="majorEastAsia" w:hAnsiTheme="majorEastAsia" w:eastAsiaTheme="majorEastAsia" w:cstheme="majorEastAsia"/>
              </w:rPr>
              <w:t>有限公司</w:t>
            </w:r>
          </w:p>
        </w:tc>
        <w:tc>
          <w:tcPr>
            <w:tcW w:w="1824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eastAsia" w:asciiTheme="majorEastAsia" w:hAnsiTheme="majorEastAsia" w:eastAsiaTheme="majorEastAsia" w:cstheme="majorEastAsia"/>
              </w:rPr>
            </w:pPr>
            <w:r>
              <w:rPr>
                <w:rFonts w:hint="eastAsia" w:asciiTheme="majorEastAsia" w:hAnsiTheme="majorEastAsia" w:eastAsiaTheme="majorEastAsia" w:cstheme="majorEastAsia"/>
              </w:rPr>
              <w:t>天津市东丽区</w:t>
            </w:r>
          </w:p>
        </w:tc>
        <w:tc>
          <w:tcPr>
            <w:tcW w:w="281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hint="default" w:ascii="Times New Roman" w:hAnsi="Times New Roman" w:eastAsia="宋体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lang w:val="en-US" w:eastAsia="zh-CN"/>
              </w:rPr>
              <w:t>8.76</w:t>
            </w:r>
          </w:p>
        </w:tc>
        <w:tc>
          <w:tcPr>
            <w:tcW w:w="1461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宋体"/>
              </w:rPr>
            </w:pPr>
            <w:r>
              <w:rPr>
                <w:rFonts w:ascii="Times New Roman" w:hAnsi="Times New Roman" w:eastAsia="宋体"/>
                <w:color w:val="4C5157"/>
              </w:rPr>
              <w:t>★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43" w:hRule="exac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关键技术指标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center"/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</w:pPr>
            <w:r>
              <w:rPr>
                <w:rFonts w:ascii="Times New Roman" w:hAnsi="Times New Roman" w:eastAsia="黑体"/>
                <w:b/>
                <w:bCs/>
                <w:color w:val="4C5157"/>
                <w:sz w:val="28"/>
                <w:szCs w:val="28"/>
              </w:rPr>
              <w:t>指标值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建筑运行碳排放强度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eastAsia" w:ascii="Times New Roman" w:hAnsi="Times New Roman" w:eastAsia="宋体"/>
                <w:kern w:val="2"/>
                <w:lang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eastAsia="zh-CN"/>
              </w:rPr>
              <w:t>——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568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围护结构热工性能</w:t>
            </w:r>
            <w:r>
              <w:rPr>
                <w:rFonts w:hint="eastAsia" w:ascii="Times New Roman" w:hAnsi="Times New Roman" w:eastAsia="宋体"/>
                <w:kern w:val="2"/>
              </w:rPr>
              <w:t>（或建筑供暖空调负荷）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围护结构热工性能提高/%；建筑供暖空调负荷降低8.44%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严寒和寒冷地区住宅建筑外窗传热系数降低比例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比国家标准降低5%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节水器具用水效率等级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50%以上达到1级且其他达到2级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建筑</w:t>
            </w:r>
            <w:r>
              <w:rPr>
                <w:rFonts w:ascii="Times New Roman" w:hAnsi="Times New Roman" w:eastAsia="宋体"/>
                <w:kern w:val="2"/>
              </w:rPr>
              <w:t>隔声性能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hint="default" w:ascii="Times New Roman" w:hAnsi="Times New Roman" w:eastAsia="宋体" w:cs="Times New Roman"/>
                <w:sz w:val="24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sz w:val="24"/>
                <w:highlight w:val="none"/>
                <w:lang w:val="en-US" w:eastAsia="zh-CN"/>
              </w:rPr>
              <w:t>构件隔声性能达到低限标准限值；楼板撞击声隔声性能达到高要求标准限值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室内主要空气污染物浓度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  <w:highlight w:val="none"/>
              </w:rPr>
            </w:pP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比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国家标准GB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/T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 xml:space="preserve"> 18883限值</w:t>
            </w:r>
            <w:r>
              <w:rPr>
                <w:rFonts w:hint="eastAsia" w:ascii="Times New Roman" w:hAnsi="Times New Roman" w:eastAsia="宋体"/>
                <w:kern w:val="2"/>
                <w:highlight w:val="none"/>
                <w:lang w:val="en-US" w:eastAsia="zh-CN"/>
              </w:rPr>
              <w:t>降低2</w:t>
            </w:r>
            <w:r>
              <w:rPr>
                <w:rFonts w:hint="eastAsia" w:ascii="Times New Roman" w:hAnsi="Times New Roman" w:eastAsia="宋体"/>
                <w:kern w:val="2"/>
                <w:highlight w:val="none"/>
              </w:rPr>
              <w:t>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外窗气密、水密、抗风压性能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外窗气密、水密、抗风压性能符合国家标准规定，外窗洞口与外窗本体结合严密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全装修</w:t>
            </w:r>
          </w:p>
        </w:tc>
        <w:tc>
          <w:tcPr>
            <w:tcW w:w="6103" w:type="dxa"/>
            <w:gridSpan w:val="3"/>
            <w:tcBorders>
              <w:top w:val="single" w:color="auto" w:sz="8" w:space="0"/>
              <w:left w:val="single" w:color="auto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ascii="Times New Roman" w:hAnsi="Times New Roman" w:eastAsia="宋体"/>
                <w:kern w:val="2"/>
              </w:rPr>
            </w:pPr>
            <w:r>
              <w:rPr>
                <w:rFonts w:hint="eastAsia" w:ascii="Times New Roman" w:hAnsi="Times New Roman" w:eastAsia="宋体"/>
                <w:kern w:val="2"/>
              </w:rPr>
              <w:t>全装修质量符合国家标准规定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绿地率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40%，达到规划指标 100%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年径流总量控制率</w:t>
            </w:r>
          </w:p>
        </w:tc>
        <w:tc>
          <w:tcPr>
            <w:tcW w:w="6103" w:type="dxa"/>
            <w:gridSpan w:val="3"/>
            <w:tcBorders>
              <w:top w:val="single" w:color="000000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75%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38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可再生能源利用率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由可再生能源提供的生活用热水比例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100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由可再生能源提供的空调用冷量和热量比例 /%、</w:t>
            </w:r>
          </w:p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由可再生能源提供的电量比例</w:t>
            </w: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 xml:space="preserve"> </w:t>
            </w:r>
            <w:r>
              <w:rPr>
                <w:rFonts w:hint="default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非传统水源利用率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spacing w:line="320" w:lineRule="exact"/>
              <w:jc w:val="left"/>
              <w:rPr>
                <w:rFonts w:ascii="Times New Roman" w:hAnsi="Times New Roman" w:eastAsia="宋体" w:cs="Times New Roman"/>
                <w:sz w:val="24"/>
              </w:rPr>
            </w:pPr>
            <w:r>
              <w:rPr>
                <w:rFonts w:hint="eastAsia" w:ascii="Times New Roman" w:hAnsi="Times New Roman" w:eastAsia="宋体" w:cs="Times New Roman"/>
                <w:sz w:val="24"/>
              </w:rPr>
              <w:t>绿化灌溉、车库及道路冲洗、洗车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%;冲厕</w:t>
            </w:r>
            <w:r>
              <w:rPr>
                <w:rFonts w:hint="eastAsia" w:ascii="Times New Roman" w:hAnsi="Times New Roman" w:eastAsia="宋体" w:cs="Times New Roman"/>
                <w:sz w:val="24"/>
                <w:lang w:val="en-US" w:eastAsia="zh-CN"/>
              </w:rPr>
              <w:t>100</w:t>
            </w:r>
            <w:r>
              <w:rPr>
                <w:rFonts w:hint="eastAsia" w:ascii="Times New Roman" w:hAnsi="Times New Roman" w:eastAsia="宋体" w:cs="Times New Roman"/>
                <w:sz w:val="24"/>
              </w:rPr>
              <w:t>%;冷却补水 /%</w:t>
            </w:r>
          </w:p>
        </w:tc>
      </w:tr>
      <w:tr>
        <w:tblPrEx>
          <w:tblBorders>
            <w:top w:val="none" w:color="auto" w:sz="6" w:space="0"/>
            <w:left w:val="none" w:color="auto" w:sz="6" w:space="0"/>
            <w:bottom w:val="none" w:color="auto" w:sz="6" w:space="0"/>
            <w:right w:val="none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90" w:hRule="atLeast"/>
        </w:trPr>
        <w:tc>
          <w:tcPr>
            <w:tcW w:w="8074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jc w:val="both"/>
              <w:rPr>
                <w:rFonts w:ascii="Times New Roman" w:hAnsi="Times New Roman" w:eastAsia="宋体"/>
                <w:kern w:val="2"/>
              </w:rPr>
            </w:pPr>
            <w:r>
              <w:rPr>
                <w:rFonts w:ascii="Times New Roman" w:hAnsi="Times New Roman" w:eastAsia="宋体"/>
                <w:kern w:val="2"/>
              </w:rPr>
              <w:t>绿色建材应用比例</w:t>
            </w:r>
          </w:p>
        </w:tc>
        <w:tc>
          <w:tcPr>
            <w:tcW w:w="6103" w:type="dxa"/>
            <w:gridSpan w:val="3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pStyle w:val="5"/>
              <w:widowControl/>
              <w:spacing w:beforeAutospacing="0" w:afterAutospacing="0" w:line="320" w:lineRule="exact"/>
              <w:rPr>
                <w:rFonts w:hint="default" w:ascii="Times New Roman" w:hAnsi="Times New Roman" w:eastAsia="宋体"/>
                <w:kern w:val="2"/>
                <w:lang w:val="en-US" w:eastAsia="zh-CN"/>
              </w:rPr>
            </w:pPr>
            <w:r>
              <w:rPr>
                <w:rFonts w:hint="eastAsia" w:ascii="Times New Roman" w:hAnsi="Times New Roman" w:eastAsia="宋体"/>
                <w:kern w:val="2"/>
                <w:lang w:val="en-US" w:eastAsia="zh-CN"/>
              </w:rPr>
              <w:t>/%</w:t>
            </w:r>
          </w:p>
        </w:tc>
      </w:tr>
    </w:tbl>
    <w:p>
      <w:pPr>
        <w:tabs>
          <w:tab w:val="left" w:pos="1482"/>
        </w:tabs>
        <w:spacing w:line="20" w:lineRule="exact"/>
        <w:jc w:val="left"/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pStyle w:val="2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rPr>
          <w:lang w:val="en-US" w:eastAsia="zh-CN"/>
        </w:rPr>
      </w:pPr>
    </w:p>
    <w:p>
      <w:pPr>
        <w:bidi w:val="0"/>
        <w:jc w:val="center"/>
        <w:rPr>
          <w:lang w:val="en-US" w:eastAsia="zh-CN"/>
        </w:rPr>
      </w:pPr>
    </w:p>
    <w:p>
      <w:pPr>
        <w:pStyle w:val="2"/>
        <w:rPr>
          <w:lang w:val="en-US" w:eastAsia="zh-CN"/>
        </w:rPr>
      </w:pPr>
      <w:bookmarkStart w:id="0" w:name="_GoBack"/>
      <w:bookmarkEnd w:id="0"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jVjMGUwNzAxZmVhNDRjODY0NTgyYzhmYzc4YjVhOTEifQ=="/>
  </w:docVars>
  <w:rsids>
    <w:rsidRoot w:val="3FEF52EF"/>
    <w:rsid w:val="0018335B"/>
    <w:rsid w:val="004D6884"/>
    <w:rsid w:val="00646853"/>
    <w:rsid w:val="00D000A7"/>
    <w:rsid w:val="016F5A4D"/>
    <w:rsid w:val="089D0FCD"/>
    <w:rsid w:val="0B22067E"/>
    <w:rsid w:val="11C07B9D"/>
    <w:rsid w:val="12B97C42"/>
    <w:rsid w:val="184C2ED6"/>
    <w:rsid w:val="1E9B4BC9"/>
    <w:rsid w:val="21091F11"/>
    <w:rsid w:val="21507868"/>
    <w:rsid w:val="243A7EF2"/>
    <w:rsid w:val="25A367C8"/>
    <w:rsid w:val="2A1E6E26"/>
    <w:rsid w:val="363C1479"/>
    <w:rsid w:val="3C779646"/>
    <w:rsid w:val="3FEF52EF"/>
    <w:rsid w:val="3FEFF0A2"/>
    <w:rsid w:val="409018AF"/>
    <w:rsid w:val="416A2A81"/>
    <w:rsid w:val="49FF1DE3"/>
    <w:rsid w:val="4B50592F"/>
    <w:rsid w:val="54A66D7D"/>
    <w:rsid w:val="5BC14BBB"/>
    <w:rsid w:val="5EE4789F"/>
    <w:rsid w:val="5F6F5B6A"/>
    <w:rsid w:val="603A44A2"/>
    <w:rsid w:val="6D1A1B6A"/>
    <w:rsid w:val="6F732B3A"/>
    <w:rsid w:val="764B5787"/>
    <w:rsid w:val="77F79D1A"/>
    <w:rsid w:val="7ABC5E3B"/>
    <w:rsid w:val="7BF97BDB"/>
    <w:rsid w:val="7E640871"/>
    <w:rsid w:val="7E778016"/>
    <w:rsid w:val="7F37A1E6"/>
    <w:rsid w:val="7FDF5EC3"/>
    <w:rsid w:val="7FFE9CFA"/>
    <w:rsid w:val="9CF7E6B0"/>
    <w:rsid w:val="9FBD81CE"/>
    <w:rsid w:val="9FD58372"/>
    <w:rsid w:val="A75F731E"/>
    <w:rsid w:val="ACB2B6DA"/>
    <w:rsid w:val="C456F108"/>
    <w:rsid w:val="D5AECCC3"/>
    <w:rsid w:val="EAFAB0F1"/>
    <w:rsid w:val="EDBBFD7D"/>
    <w:rsid w:val="EFF7C6A7"/>
    <w:rsid w:val="F23FB1DB"/>
    <w:rsid w:val="F57DB61E"/>
    <w:rsid w:val="F57F7E4B"/>
    <w:rsid w:val="F7BD4F14"/>
    <w:rsid w:val="F7FD85E2"/>
    <w:rsid w:val="FB73549E"/>
    <w:rsid w:val="FE17A4A7"/>
    <w:rsid w:val="FFDFD848"/>
    <w:rsid w:val="FFF4C0BA"/>
    <w:rsid w:val="FFFF83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486</Words>
  <Characters>523</Characters>
  <Lines>1</Lines>
  <Paragraphs>1</Paragraphs>
  <TotalTime>1</TotalTime>
  <ScaleCrop>false</ScaleCrop>
  <LinksUpToDate>false</LinksUpToDate>
  <CharactersWithSpaces>528</CharactersWithSpaces>
  <Application>WPS Office_11.8.2.10154_F1E327BC-269C-435d-A152-05C5408002CA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2024-10-29T01:26:00Z</dcterms:created>
  <dc:creator>天天天蓝</dc:creator>
  <cp:lastModifiedBy>沈常玉</cp:lastModifiedBy>
  <cp:lastPrinted>2024-01-03T09:43:00Z</cp:lastPrinted>
  <dcterms:modified xsi:type="dcterms:W3CDTF">2025-08-05T08:14:54Z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2052-11.8.2.10154</vt:lpwstr>
  </property>
  <property fmtid="{D5CDD505-2E9C-101B-9397-08002B2CF9AE}" pid="3" name="ICV">
    <vt:lpwstr>D054439E9C834B86BA8B475B240A8A39_13</vt:lpwstr>
  </property>
</Properties>
</file>