
<file path=[Content_Types].xml><?xml version="1.0" encoding="utf-8"?>
<Types xmlns="http://schemas.openxmlformats.org/package/2006/content-types">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8AA0C">
      <w:pPr>
        <w:jc w:val="center"/>
        <w:rPr>
          <w:rFonts w:ascii="黑体" w:hAnsi="黑体" w:eastAsia="黑体"/>
          <w:sz w:val="30"/>
          <w:szCs w:val="30"/>
        </w:rPr>
      </w:pPr>
      <w:r>
        <w:rPr>
          <w:rFonts w:hint="eastAsia" w:ascii="黑体" w:hAnsi="黑体" w:eastAsia="黑体"/>
          <w:sz w:val="30"/>
          <w:szCs w:val="30"/>
        </w:rPr>
        <w:t>关于《天津市东丽区无瑕氢能科技园东部片区土地征收成片</w:t>
      </w:r>
    </w:p>
    <w:p w14:paraId="2F0034FA">
      <w:pPr>
        <w:jc w:val="center"/>
        <w:rPr>
          <w:rFonts w:ascii="黑体" w:hAnsi="黑体" w:eastAsia="黑体"/>
          <w:sz w:val="30"/>
          <w:szCs w:val="30"/>
        </w:rPr>
      </w:pPr>
      <w:r>
        <w:rPr>
          <w:rFonts w:hint="eastAsia" w:ascii="黑体" w:hAnsi="黑体" w:eastAsia="黑体"/>
          <w:sz w:val="30"/>
          <w:szCs w:val="30"/>
        </w:rPr>
        <w:t>开发调整方案》</w:t>
      </w:r>
      <w:r>
        <w:rPr>
          <w:rFonts w:ascii="黑体" w:hAnsi="黑体" w:eastAsia="黑体"/>
          <w:sz w:val="30"/>
          <w:szCs w:val="30"/>
        </w:rPr>
        <w:t>公示</w:t>
      </w:r>
      <w:r>
        <w:rPr>
          <w:rFonts w:hint="eastAsia" w:ascii="黑体" w:hAnsi="黑体" w:eastAsia="黑体"/>
          <w:sz w:val="30"/>
          <w:szCs w:val="30"/>
        </w:rPr>
        <w:t>的公告</w:t>
      </w:r>
    </w:p>
    <w:p w14:paraId="35FD308A">
      <w:pPr>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按照《中华人民共和国土地管理法》、自然资源部土地征收成片开发标准及本市相关规定，依据东丽区国民经济和社会发展规划、国土空间规划，我区组织编制了《天津市东丽区无瑕氢能科技园东部片区土地征收成片开发方案</w:t>
      </w:r>
      <w:r>
        <w:rPr>
          <w:rFonts w:ascii="Times New Roman" w:hAnsi="Times New Roman" w:eastAsia="仿宋_GB2312" w:cs="Times New Roman"/>
          <w:sz w:val="28"/>
          <w:szCs w:val="28"/>
        </w:rPr>
        <w:t>》，于2024年11月经市政府批准</w:t>
      </w:r>
      <w:r>
        <w:rPr>
          <w:rFonts w:hint="eastAsia" w:ascii="Times New Roman" w:hAnsi="Times New Roman" w:eastAsia="仿宋_GB2312" w:cs="Times New Roman"/>
          <w:sz w:val="28"/>
          <w:szCs w:val="28"/>
        </w:rPr>
        <w:t>（津规资源函〔</w:t>
      </w:r>
      <w:r>
        <w:rPr>
          <w:rFonts w:ascii="Times New Roman" w:hAnsi="Times New Roman" w:eastAsia="仿宋_GB2312" w:cs="Times New Roman"/>
          <w:sz w:val="28"/>
          <w:szCs w:val="28"/>
        </w:rPr>
        <w:t>2024〕363号）。根据方案实施情况，现需核减部分开发地块，按规定编制了《</w:t>
      </w:r>
      <w:r>
        <w:rPr>
          <w:rFonts w:hint="eastAsia" w:ascii="Times New Roman" w:hAnsi="Times New Roman" w:eastAsia="仿宋_GB2312" w:cs="Times New Roman"/>
          <w:sz w:val="28"/>
          <w:szCs w:val="28"/>
        </w:rPr>
        <w:t>天津市东丽区无瑕氢能科技园东部片区土地征收成片开发</w:t>
      </w:r>
      <w:r>
        <w:rPr>
          <w:rFonts w:ascii="Times New Roman" w:hAnsi="Times New Roman" w:eastAsia="仿宋_GB2312" w:cs="Times New Roman"/>
          <w:sz w:val="28"/>
          <w:szCs w:val="28"/>
        </w:rPr>
        <w:t>调整方案》（以下简称《</w:t>
      </w:r>
      <w:r>
        <w:rPr>
          <w:rFonts w:hint="eastAsia" w:ascii="Times New Roman" w:hAnsi="Times New Roman" w:eastAsia="仿宋_GB2312" w:cs="Times New Roman"/>
          <w:sz w:val="28"/>
          <w:szCs w:val="28"/>
        </w:rPr>
        <w:t>调整</w:t>
      </w:r>
      <w:r>
        <w:rPr>
          <w:rFonts w:ascii="Times New Roman" w:hAnsi="Times New Roman" w:eastAsia="仿宋_GB2312" w:cs="Times New Roman"/>
          <w:sz w:val="28"/>
          <w:szCs w:val="28"/>
        </w:rPr>
        <w:t>方案》）。现将《</w:t>
      </w:r>
      <w:r>
        <w:rPr>
          <w:rFonts w:hint="eastAsia" w:ascii="Times New Roman" w:hAnsi="Times New Roman" w:eastAsia="仿宋_GB2312" w:cs="Times New Roman"/>
          <w:sz w:val="28"/>
          <w:szCs w:val="28"/>
        </w:rPr>
        <w:t>调整</w:t>
      </w:r>
      <w:r>
        <w:rPr>
          <w:rFonts w:ascii="Times New Roman" w:hAnsi="Times New Roman" w:eastAsia="仿宋_GB2312" w:cs="Times New Roman"/>
          <w:sz w:val="28"/>
          <w:szCs w:val="28"/>
        </w:rPr>
        <w:t>方案》核心内容予以公示，公示期5个工作日。如有意见建议，</w:t>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HYPERLINK "mailto:请于2025年6月**日之前将署名意见建议反馈至邮箱zgb@ntci.com.cn"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请于2025年6月</w:t>
      </w:r>
      <w:r>
        <w:rPr>
          <w:rFonts w:hint="eastAsia" w:ascii="Times New Roman" w:hAnsi="Times New Roman" w:eastAsia="仿宋_GB2312" w:cs="Times New Roman"/>
          <w:sz w:val="28"/>
          <w:szCs w:val="28"/>
          <w:lang w:val="en-US" w:eastAsia="zh-CN"/>
        </w:rPr>
        <w:t>19</w:t>
      </w:r>
      <w:r>
        <w:rPr>
          <w:rFonts w:ascii="Times New Roman" w:hAnsi="Times New Roman" w:eastAsia="仿宋_GB2312" w:cs="Times New Roman"/>
          <w:sz w:val="28"/>
          <w:szCs w:val="28"/>
        </w:rPr>
        <w:t>日之前将署名意见建议反馈至邮箱ziranziyuan@envirogene.cn</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t>。</w:t>
      </w:r>
    </w:p>
    <w:p w14:paraId="4D3BF02E">
      <w:pPr>
        <w:pStyle w:val="9"/>
        <w:numPr>
          <w:ilvl w:val="0"/>
          <w:numId w:val="1"/>
        </w:numPr>
        <w:shd w:val="clear" w:color="auto" w:fill="FFFFFF"/>
        <w:spacing w:before="0" w:beforeAutospacing="0" w:after="0" w:afterAutospacing="0" w:line="293" w:lineRule="atLeast"/>
        <w:rPr>
          <w:rFonts w:ascii="黑体" w:hAnsi="黑体" w:eastAsia="黑体"/>
          <w:color w:val="333333"/>
          <w:sz w:val="30"/>
          <w:szCs w:val="30"/>
        </w:rPr>
      </w:pPr>
      <w:r>
        <w:rPr>
          <w:rFonts w:hint="eastAsia" w:ascii="黑体" w:hAnsi="黑体" w:eastAsia="黑体"/>
          <w:color w:val="333333"/>
          <w:sz w:val="30"/>
          <w:szCs w:val="30"/>
        </w:rPr>
        <w:t>编制原则</w:t>
      </w:r>
    </w:p>
    <w:p w14:paraId="0F79EA95">
      <w:pPr>
        <w:spacing w:line="360" w:lineRule="auto"/>
        <w:ind w:firstLine="560" w:firstLineChars="200"/>
        <w:rPr>
          <w:rFonts w:ascii="Times New Roman" w:hAnsi="Times New Roman" w:eastAsia="仿宋_GB2312" w:cs="Times New Roman"/>
          <w:sz w:val="28"/>
          <w:szCs w:val="28"/>
        </w:rPr>
      </w:pPr>
      <w:bookmarkStart w:id="0" w:name="_Toc61864544"/>
      <w:bookmarkEnd w:id="0"/>
      <w:r>
        <w:rPr>
          <w:rFonts w:hint="eastAsia" w:ascii="Times New Roman" w:hAnsi="Times New Roman" w:eastAsia="仿宋_GB2312" w:cs="Times New Roman"/>
          <w:sz w:val="28"/>
          <w:szCs w:val="28"/>
        </w:rPr>
        <w:t>成片开发调整范围</w:t>
      </w:r>
      <w:r>
        <w:rPr>
          <w:rFonts w:ascii="Times New Roman" w:hAnsi="Times New Roman" w:eastAsia="仿宋_GB2312" w:cs="Times New Roman"/>
          <w:sz w:val="28"/>
          <w:szCs w:val="28"/>
        </w:rPr>
        <w:t>坚持新发展理念，以人民为中心，注重保护耕地，注重维护农民合法权益，注重节约集约用地，注重生态环境保护，促进当地经济社会可持续发展。</w:t>
      </w:r>
    </w:p>
    <w:p w14:paraId="34C650C2">
      <w:pPr>
        <w:pStyle w:val="9"/>
        <w:numPr>
          <w:ilvl w:val="0"/>
          <w:numId w:val="1"/>
        </w:numPr>
        <w:shd w:val="clear" w:color="auto" w:fill="FFFFFF"/>
        <w:spacing w:before="0" w:beforeAutospacing="0" w:after="0" w:afterAutospacing="0" w:line="293" w:lineRule="atLeast"/>
        <w:rPr>
          <w:rFonts w:ascii="黑体" w:hAnsi="黑体" w:eastAsia="黑体"/>
          <w:color w:val="333333"/>
          <w:sz w:val="30"/>
          <w:szCs w:val="30"/>
        </w:rPr>
      </w:pPr>
      <w:r>
        <w:rPr>
          <w:rFonts w:hint="eastAsia" w:ascii="黑体" w:hAnsi="黑体" w:eastAsia="黑体"/>
          <w:color w:val="333333"/>
          <w:sz w:val="30"/>
          <w:szCs w:val="30"/>
        </w:rPr>
        <w:t>基本情况</w:t>
      </w:r>
    </w:p>
    <w:p w14:paraId="01799143">
      <w:pPr>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原方案总面积</w:t>
      </w:r>
      <w:r>
        <w:rPr>
          <w:rFonts w:ascii="Times New Roman" w:hAnsi="Times New Roman" w:eastAsia="仿宋_GB2312" w:cs="Times New Roman"/>
          <w:sz w:val="28"/>
          <w:szCs w:val="28"/>
        </w:rPr>
        <w:t>22.89公顷，拟申请征收集体土地21.08公顷。截至目前，尚未实施征收。</w:t>
      </w:r>
      <w:r>
        <w:rPr>
          <w:rFonts w:hint="eastAsia" w:ascii="Times New Roman" w:hAnsi="Times New Roman" w:eastAsia="仿宋_GB2312" w:cs="Times New Roman"/>
          <w:sz w:val="28"/>
          <w:szCs w:val="28"/>
        </w:rPr>
        <w:t>受经济环境等因素影响，部分企业因市场环境变化投资意向不明以及资金不足等原因，招商引资项目减少，未能按原计划实施征地，</w:t>
      </w:r>
      <w:r>
        <w:rPr>
          <w:rFonts w:ascii="Times New Roman" w:hAnsi="Times New Roman" w:eastAsia="仿宋_GB2312" w:cs="Times New Roman"/>
          <w:sz w:val="28"/>
          <w:szCs w:val="28"/>
        </w:rPr>
        <w:t>拟核减尚未实施的开发地块15.49公顷，</w:t>
      </w:r>
      <w:r>
        <w:rPr>
          <w:rFonts w:hint="eastAsia" w:ascii="Times New Roman" w:hAnsi="Times New Roman" w:eastAsia="仿宋_GB2312" w:cs="Times New Roman"/>
          <w:sz w:val="28"/>
          <w:szCs w:val="28"/>
        </w:rPr>
        <w:t>全部为</w:t>
      </w:r>
      <w:r>
        <w:rPr>
          <w:rFonts w:ascii="Times New Roman" w:hAnsi="Times New Roman" w:eastAsia="仿宋_GB2312" w:cs="Times New Roman"/>
          <w:sz w:val="28"/>
          <w:szCs w:val="28"/>
        </w:rPr>
        <w:t>集体土地。调整后情况如下：</w:t>
      </w:r>
    </w:p>
    <w:p w14:paraId="61DCD230">
      <w:pPr>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《调整方案》包含</w:t>
      </w:r>
      <w:r>
        <w:rPr>
          <w:rFonts w:ascii="Times New Roman" w:hAnsi="Times New Roman" w:eastAsia="仿宋_GB2312" w:cs="Times New Roman"/>
          <w:sz w:val="28"/>
          <w:szCs w:val="28"/>
        </w:rPr>
        <w:t>1个片区，</w:t>
      </w:r>
      <w:r>
        <w:rPr>
          <w:rFonts w:hint="eastAsia" w:ascii="Times New Roman" w:hAnsi="Times New Roman" w:eastAsia="仿宋_GB2312" w:cs="Times New Roman"/>
          <w:sz w:val="28"/>
          <w:szCs w:val="28"/>
        </w:rPr>
        <w:t>总面积</w:t>
      </w:r>
      <w:r>
        <w:rPr>
          <w:rFonts w:ascii="Times New Roman" w:hAnsi="Times New Roman" w:eastAsia="仿宋_GB2312" w:cs="Times New Roman"/>
          <w:sz w:val="28"/>
          <w:szCs w:val="28"/>
        </w:rPr>
        <w:t>7.40公顷，</w:t>
      </w:r>
      <w:r>
        <w:rPr>
          <w:rFonts w:hint="eastAsia" w:ascii="Times New Roman" w:hAnsi="Times New Roman" w:eastAsia="仿宋_GB2312" w:cs="Times New Roman"/>
          <w:sz w:val="28"/>
          <w:szCs w:val="28"/>
        </w:rPr>
        <w:t>其中国有土地1</w:t>
      </w:r>
      <w:r>
        <w:rPr>
          <w:rFonts w:ascii="Times New Roman" w:hAnsi="Times New Roman" w:eastAsia="仿宋_GB2312" w:cs="Times New Roman"/>
          <w:sz w:val="28"/>
          <w:szCs w:val="28"/>
        </w:rPr>
        <w:t>.81</w:t>
      </w:r>
      <w:r>
        <w:rPr>
          <w:rFonts w:hint="eastAsia" w:ascii="Times New Roman" w:hAnsi="Times New Roman" w:eastAsia="仿宋_GB2312" w:cs="Times New Roman"/>
          <w:sz w:val="28"/>
          <w:szCs w:val="28"/>
        </w:rPr>
        <w:t>公顷，</w:t>
      </w:r>
      <w:r>
        <w:rPr>
          <w:rFonts w:ascii="Times New Roman" w:hAnsi="Times New Roman" w:eastAsia="仿宋_GB2312" w:cs="Times New Roman"/>
          <w:sz w:val="28"/>
          <w:szCs w:val="28"/>
        </w:rPr>
        <w:t>集体土地</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.59</w:t>
      </w:r>
      <w:r>
        <w:rPr>
          <w:rFonts w:hint="eastAsia" w:ascii="Times New Roman" w:hAnsi="Times New Roman" w:eastAsia="仿宋_GB2312" w:cs="Times New Roman"/>
          <w:sz w:val="28"/>
          <w:szCs w:val="28"/>
        </w:rPr>
        <w:t>公顷</w:t>
      </w:r>
      <w:r>
        <w:rPr>
          <w:rFonts w:ascii="Times New Roman" w:hAnsi="Times New Roman" w:eastAsia="仿宋_GB2312" w:cs="Times New Roman"/>
          <w:sz w:val="28"/>
          <w:szCs w:val="28"/>
        </w:rPr>
        <w:t>。涉及无</w:t>
      </w:r>
      <w:r>
        <w:rPr>
          <w:rFonts w:hint="eastAsia" w:ascii="Times New Roman" w:hAnsi="Times New Roman" w:eastAsia="仿宋_GB2312" w:cs="Times New Roman"/>
          <w:sz w:val="28"/>
          <w:szCs w:val="28"/>
          <w:lang w:eastAsia="zh-CN"/>
        </w:rPr>
        <w:t>瑕</w:t>
      </w:r>
      <w:r>
        <w:rPr>
          <w:rFonts w:ascii="Times New Roman" w:hAnsi="Times New Roman" w:eastAsia="仿宋_GB2312" w:cs="Times New Roman"/>
          <w:sz w:val="28"/>
          <w:szCs w:val="28"/>
        </w:rPr>
        <w:t>街道北大道村和西地村1个街道2个村庄，土地产权明晰，界址清楚。</w:t>
      </w:r>
      <w:r>
        <w:rPr>
          <w:rFonts w:hint="eastAsia" w:ascii="Times New Roman" w:hAnsi="Times New Roman" w:eastAsia="仿宋_GB2312" w:cs="Times New Roman"/>
          <w:sz w:val="28"/>
          <w:szCs w:val="28"/>
        </w:rPr>
        <w:t>该方案拟申请征收集体土地</w:t>
      </w:r>
      <w:r>
        <w:rPr>
          <w:rFonts w:ascii="Times New Roman" w:hAnsi="Times New Roman" w:eastAsia="仿宋_GB2312" w:cs="Times New Roman"/>
          <w:sz w:val="28"/>
          <w:szCs w:val="28"/>
        </w:rPr>
        <w:t>5.59公顷，</w:t>
      </w:r>
      <w:r>
        <w:rPr>
          <w:rFonts w:hint="eastAsia" w:ascii="Times New Roman" w:hAnsi="Times New Roman" w:eastAsia="仿宋_GB2312" w:cs="Times New Roman"/>
          <w:sz w:val="28"/>
          <w:szCs w:val="28"/>
        </w:rPr>
        <w:t>全部为</w:t>
      </w:r>
      <w:r>
        <w:rPr>
          <w:rFonts w:ascii="Times New Roman" w:hAnsi="Times New Roman" w:eastAsia="仿宋_GB2312" w:cs="Times New Roman"/>
          <w:sz w:val="28"/>
          <w:szCs w:val="28"/>
        </w:rPr>
        <w:t>建设用地。</w:t>
      </w:r>
    </w:p>
    <w:p w14:paraId="2F635967">
      <w:pPr>
        <w:pStyle w:val="9"/>
        <w:shd w:val="clear" w:color="auto" w:fill="FFFFFF"/>
        <w:spacing w:before="0" w:beforeAutospacing="0" w:after="0" w:afterAutospacing="0" w:line="293" w:lineRule="atLeast"/>
        <w:rPr>
          <w:rFonts w:ascii="黑体" w:hAnsi="黑体" w:eastAsia="黑体"/>
          <w:color w:val="333333"/>
          <w:sz w:val="30"/>
          <w:szCs w:val="30"/>
        </w:rPr>
      </w:pPr>
      <w:r>
        <w:rPr>
          <w:rFonts w:hint="eastAsia" w:ascii="黑体" w:hAnsi="黑体" w:eastAsia="黑体"/>
          <w:color w:val="333333"/>
          <w:sz w:val="30"/>
          <w:szCs w:val="30"/>
        </w:rPr>
        <w:t>三、主要用途及功能</w:t>
      </w:r>
    </w:p>
    <w:p w14:paraId="11698F0D">
      <w:pPr>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成片开发调整范围</w:t>
      </w:r>
      <w:r>
        <w:rPr>
          <w:rFonts w:ascii="Times New Roman" w:hAnsi="Times New Roman" w:eastAsia="仿宋_GB2312" w:cs="Times New Roman"/>
          <w:sz w:val="28"/>
          <w:szCs w:val="28"/>
        </w:rPr>
        <w:t>内</w:t>
      </w:r>
      <w:r>
        <w:rPr>
          <w:rFonts w:hint="eastAsia" w:ascii="Times New Roman" w:hAnsi="Times New Roman" w:eastAsia="仿宋_GB2312" w:cs="Times New Roman"/>
          <w:sz w:val="28"/>
          <w:szCs w:val="28"/>
        </w:rPr>
        <w:t>规划地类为工矿用地</w:t>
      </w:r>
      <w:r>
        <w:rPr>
          <w:rFonts w:hint="eastAsia" w:eastAsia="仿宋" w:cs="Times New Roman"/>
          <w:sz w:val="28"/>
          <w:szCs w:val="28"/>
        </w:rPr>
        <w:t>，</w:t>
      </w:r>
      <w:r>
        <w:rPr>
          <w:rFonts w:hint="eastAsia" w:ascii="Times New Roman" w:hAnsi="Times New Roman" w:eastAsia="仿宋_GB2312" w:cs="Times New Roman"/>
          <w:sz w:val="28"/>
          <w:szCs w:val="28"/>
        </w:rPr>
        <w:t>其主导功能是工业生产，较方案调整前功能未发生变化。</w:t>
      </w:r>
    </w:p>
    <w:p w14:paraId="19A195E7">
      <w:pPr>
        <w:pStyle w:val="9"/>
        <w:shd w:val="clear" w:color="auto" w:fill="FFFFFF"/>
        <w:spacing w:before="0" w:beforeAutospacing="0" w:after="0" w:afterAutospacing="0" w:line="293" w:lineRule="atLeast"/>
        <w:rPr>
          <w:rFonts w:ascii="微软雅黑" w:hAnsi="微软雅黑" w:eastAsia="微软雅黑"/>
          <w:color w:val="333333"/>
          <w:sz w:val="20"/>
          <w:szCs w:val="20"/>
        </w:rPr>
      </w:pPr>
      <w:bookmarkStart w:id="1" w:name="_Toc61864554"/>
      <w:bookmarkEnd w:id="1"/>
      <w:r>
        <w:rPr>
          <w:rFonts w:hint="eastAsia" w:ascii="黑体" w:hAnsi="黑体" w:eastAsia="黑体"/>
          <w:color w:val="333333"/>
          <w:sz w:val="30"/>
          <w:szCs w:val="30"/>
        </w:rPr>
        <w:t>四、实施计划</w:t>
      </w:r>
    </w:p>
    <w:p w14:paraId="670090E3">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本片区拟安排建设项目以</w:t>
      </w:r>
      <w:r>
        <w:rPr>
          <w:rFonts w:hint="eastAsia" w:ascii="Times New Roman" w:hAnsi="Times New Roman" w:eastAsia="仿宋_GB2312" w:cs="Times New Roman"/>
          <w:sz w:val="28"/>
          <w:szCs w:val="28"/>
        </w:rPr>
        <w:t>工业开发</w:t>
      </w:r>
      <w:r>
        <w:rPr>
          <w:rFonts w:ascii="Times New Roman" w:hAnsi="Times New Roman" w:eastAsia="仿宋_GB2312" w:cs="Times New Roman"/>
          <w:sz w:val="28"/>
          <w:szCs w:val="28"/>
        </w:rPr>
        <w:t>为主，配套建设基础设施类项目</w:t>
      </w:r>
      <w:r>
        <w:rPr>
          <w:rFonts w:hint="eastAsia" w:ascii="Times New Roman" w:hAnsi="Times New Roman" w:eastAsia="仿宋_GB2312" w:cs="Times New Roman"/>
          <w:sz w:val="28"/>
          <w:szCs w:val="28"/>
        </w:rPr>
        <w:t>。计划在</w:t>
      </w:r>
      <w:r>
        <w:rPr>
          <w:rFonts w:ascii="Times New Roman" w:hAnsi="Times New Roman" w:eastAsia="仿宋_GB2312" w:cs="Times New Roman"/>
          <w:sz w:val="28"/>
          <w:szCs w:val="28"/>
        </w:rPr>
        <w:t>2025</w:t>
      </w:r>
      <w:r>
        <w:rPr>
          <w:rFonts w:hint="eastAsia" w:ascii="Times New Roman" w:hAnsi="Times New Roman" w:eastAsia="仿宋_GB2312" w:cs="Times New Roman"/>
          <w:sz w:val="28"/>
          <w:szCs w:val="28"/>
        </w:rPr>
        <w:t>至202</w:t>
      </w:r>
      <w:r>
        <w:rPr>
          <w:rFonts w:ascii="Times New Roman" w:hAnsi="Times New Roman" w:eastAsia="仿宋_GB2312" w:cs="Times New Roman"/>
          <w:sz w:val="28"/>
          <w:szCs w:val="28"/>
        </w:rPr>
        <w:t>6</w:t>
      </w:r>
      <w:r>
        <w:rPr>
          <w:rFonts w:hint="eastAsia" w:ascii="Times New Roman" w:hAnsi="Times New Roman" w:eastAsia="仿宋_GB2312" w:cs="Times New Roman"/>
          <w:sz w:val="28"/>
          <w:szCs w:val="28"/>
        </w:rPr>
        <w:t>年实施项目的土地征收工作。</w:t>
      </w:r>
    </w:p>
    <w:p w14:paraId="7A8C624C">
      <w:pPr>
        <w:pStyle w:val="9"/>
        <w:shd w:val="clear" w:color="auto" w:fill="FFFFFF"/>
        <w:spacing w:before="0" w:beforeAutospacing="0" w:after="0" w:afterAutospacing="0" w:line="293" w:lineRule="atLeast"/>
        <w:rPr>
          <w:rFonts w:ascii="微软雅黑" w:hAnsi="微软雅黑" w:eastAsia="微软雅黑"/>
          <w:color w:val="000000" w:themeColor="text1"/>
          <w:sz w:val="20"/>
          <w:szCs w:val="20"/>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五、合规性分析</w:t>
      </w:r>
    </w:p>
    <w:p w14:paraId="6AAFEFB8">
      <w:pPr>
        <w:spacing w:line="360" w:lineRule="auto"/>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调整方案》符合东丽区国土空间总体规划、控制性详细规划；符合东丽区国民经济和社会发展第十四个五年规划，本次成片开发调整后，部分实施计划将涉及超过东丽区国民经济和社会发展第十四个五年规划的规划期。区政府承诺与新一轮东丽区国民经济和社会发展规划做好衔接，将调整后的方案内容纳入“十五五”规划；另成片开发相关内容承诺纳入征收当</w:t>
      </w:r>
      <w:r>
        <w:rPr>
          <w:rFonts w:ascii="Times New Roman" w:hAnsi="Times New Roman" w:eastAsia="仿宋_GB2312" w:cs="Times New Roman"/>
          <w:color w:val="000000" w:themeColor="text1"/>
          <w:sz w:val="28"/>
          <w:szCs w:val="28"/>
          <w14:textFill>
            <w14:solidFill>
              <w14:schemeClr w14:val="tx1"/>
            </w14:solidFill>
          </w14:textFill>
        </w:rPr>
        <w:t>年国民经济和社会发展</w:t>
      </w:r>
      <w:r>
        <w:rPr>
          <w:rFonts w:hint="eastAsia" w:ascii="Times New Roman" w:hAnsi="Times New Roman" w:eastAsia="仿宋_GB2312" w:cs="Times New Roman"/>
          <w:color w:val="000000" w:themeColor="text1"/>
          <w:sz w:val="28"/>
          <w:szCs w:val="28"/>
          <w14:textFill>
            <w14:solidFill>
              <w14:schemeClr w14:val="tx1"/>
            </w14:solidFill>
          </w14:textFill>
        </w:rPr>
        <w:t>年度计划。</w:t>
      </w:r>
      <w:r>
        <w:rPr>
          <w:rFonts w:ascii="Times New Roman" w:hAnsi="Times New Roman" w:eastAsia="仿宋_GB2312" w:cs="Times New Roman"/>
          <w:color w:val="000000" w:themeColor="text1"/>
          <w:sz w:val="28"/>
          <w:szCs w:val="28"/>
          <w14:textFill>
            <w14:solidFill>
              <w14:schemeClr w14:val="tx1"/>
            </w14:solidFill>
          </w14:textFill>
        </w:rPr>
        <w:t>成片开发范围内公益性用地比例为20%；</w:t>
      </w:r>
      <w:r>
        <w:rPr>
          <w:rFonts w:hint="eastAsia" w:ascii="Times New Roman" w:hAnsi="Times New Roman" w:eastAsia="仿宋_GB2312" w:cs="Times New Roman"/>
          <w:color w:val="000000" w:themeColor="text1"/>
          <w:sz w:val="28"/>
          <w:szCs w:val="28"/>
          <w14:textFill>
            <w14:solidFill>
              <w14:schemeClr w14:val="tx1"/>
            </w14:solidFill>
          </w14:textFill>
        </w:rPr>
        <w:t>不位于生态保护红线范围内，不位于各级自然保护区，不占永久基本农田，符合城镇开发边界管控规则，涉及天津市绿色生态屏障二级管控区，符合管控要求，不涉及大运河天津段核心监控区。</w:t>
      </w:r>
    </w:p>
    <w:p w14:paraId="1BC349BB">
      <w:pPr>
        <w:pStyle w:val="9"/>
        <w:shd w:val="clear" w:color="auto" w:fill="FFFFFF"/>
        <w:spacing w:before="0" w:beforeAutospacing="0" w:after="0" w:afterAutospacing="0" w:line="293" w:lineRule="atLeast"/>
        <w:rPr>
          <w:rFonts w:ascii="微软雅黑" w:hAnsi="微软雅黑" w:eastAsia="微软雅黑"/>
          <w:color w:val="333333"/>
          <w:sz w:val="20"/>
          <w:szCs w:val="20"/>
        </w:rPr>
      </w:pPr>
      <w:bookmarkStart w:id="2" w:name="_Toc61864556"/>
      <w:bookmarkEnd w:id="2"/>
      <w:r>
        <w:rPr>
          <w:rFonts w:hint="eastAsia" w:ascii="黑体" w:hAnsi="黑体" w:eastAsia="黑体"/>
          <w:color w:val="333333"/>
          <w:sz w:val="30"/>
          <w:szCs w:val="30"/>
        </w:rPr>
        <w:t>六、权益保障</w:t>
      </w:r>
    </w:p>
    <w:p w14:paraId="2DF048AD">
      <w:pPr>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片区实施土地征收时，严格落实</w:t>
      </w:r>
      <w:r>
        <w:rPr>
          <w:rFonts w:ascii="Times New Roman" w:hAnsi="Times New Roman" w:eastAsia="仿宋_GB2312" w:cs="Times New Roman"/>
          <w:sz w:val="28"/>
          <w:szCs w:val="28"/>
        </w:rPr>
        <w:t>相关规定，保证土地征收程序依法合规。</w:t>
      </w:r>
      <w:r>
        <w:rPr>
          <w:rFonts w:hint="eastAsia" w:ascii="Times New Roman" w:hAnsi="Times New Roman" w:eastAsia="仿宋_GB2312" w:cs="Times New Roman"/>
          <w:sz w:val="28"/>
          <w:szCs w:val="28"/>
        </w:rPr>
        <w:t>一是</w:t>
      </w:r>
      <w:r>
        <w:rPr>
          <w:rFonts w:ascii="Times New Roman" w:hAnsi="Times New Roman" w:eastAsia="仿宋_GB2312" w:cs="Times New Roman"/>
          <w:sz w:val="28"/>
          <w:szCs w:val="28"/>
        </w:rPr>
        <w:t>依法开展土地征收社会稳定风险评估工作，充分保障被征收土地农民的知情权、参与权、监督权</w:t>
      </w:r>
      <w:r>
        <w:rPr>
          <w:rFonts w:hint="eastAsia" w:ascii="Times New Roman" w:hAnsi="Times New Roman" w:eastAsia="仿宋_GB2312" w:cs="Times New Roman"/>
          <w:sz w:val="28"/>
          <w:szCs w:val="28"/>
        </w:rPr>
        <w:t>，明确</w:t>
      </w:r>
      <w:r>
        <w:rPr>
          <w:rFonts w:ascii="Times New Roman" w:hAnsi="Times New Roman" w:eastAsia="仿宋_GB2312" w:cs="Times New Roman"/>
          <w:sz w:val="28"/>
          <w:szCs w:val="28"/>
        </w:rPr>
        <w:t>征地补偿标准，更加公开、透明</w:t>
      </w:r>
      <w:r>
        <w:rPr>
          <w:rFonts w:hint="eastAsia" w:ascii="Times New Roman" w:hAnsi="Times New Roman" w:eastAsia="仿宋_GB2312" w:cs="Times New Roman"/>
          <w:sz w:val="28"/>
          <w:szCs w:val="28"/>
        </w:rPr>
        <w:t>；二是用地单位提前准备，做好资金筹备工作，保障农民土地补偿费、安置补助费等土地征收资金在征地前保障资金到位；三是各级政府加强对土地补偿专项资金合法使用和适度监管，防止因征地补偿不当而影响被征地农民的切身利益，切实维护被征收土地农民的合法权益，确保被征地农民原有生活水平不降低、长远生计有保障、生活质量有提高。</w:t>
      </w:r>
      <w:r>
        <w:rPr>
          <w:rFonts w:ascii="Times New Roman" w:hAnsi="Times New Roman" w:eastAsia="仿宋_GB2312" w:cs="Times New Roman"/>
          <w:sz w:val="28"/>
          <w:szCs w:val="28"/>
        </w:rPr>
        <w:br w:type="page"/>
      </w:r>
    </w:p>
    <w:p w14:paraId="7620E219">
      <w:pPr>
        <w:pStyle w:val="9"/>
        <w:shd w:val="clear" w:color="auto" w:fill="FFFFFF"/>
        <w:spacing w:before="0" w:beforeAutospacing="0" w:after="0" w:afterAutospacing="0" w:line="293" w:lineRule="atLeast"/>
        <w:rPr>
          <w:rFonts w:ascii="黑体" w:hAnsi="黑体" w:eastAsia="黑体"/>
          <w:color w:val="333333"/>
          <w:sz w:val="30"/>
          <w:szCs w:val="30"/>
        </w:rPr>
      </w:pPr>
      <w:r>
        <w:rPr>
          <w:rFonts w:hint="eastAsia" w:ascii="黑体" w:hAnsi="黑体" w:eastAsia="黑体"/>
          <w:color w:val="333333"/>
          <w:sz w:val="30"/>
          <w:szCs w:val="30"/>
        </w:rPr>
        <w:t>附图</w:t>
      </w:r>
    </w:p>
    <w:p w14:paraId="668EBD56">
      <w:pPr>
        <w:pStyle w:val="9"/>
        <w:shd w:val="clear" w:color="auto" w:fill="FFFFFF"/>
        <w:spacing w:before="0" w:beforeAutospacing="0" w:after="0" w:afterAutospacing="0" w:line="293" w:lineRule="atLeast"/>
        <w:rPr>
          <w:rFonts w:ascii="黑体" w:hAnsi="黑体" w:eastAsia="黑体"/>
          <w:color w:val="333333"/>
          <w:sz w:val="30"/>
          <w:szCs w:val="30"/>
        </w:rPr>
      </w:pPr>
      <w:r>
        <w:drawing>
          <wp:inline distT="0" distB="0" distL="0" distR="0">
            <wp:extent cx="5273675" cy="3729990"/>
            <wp:effectExtent l="0" t="0" r="317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09" cy="3730297"/>
                    </a:xfrm>
                    <a:prstGeom prst="rect">
                      <a:avLst/>
                    </a:prstGeom>
                    <a:noFill/>
                    <a:ln>
                      <a:noFill/>
                    </a:ln>
                  </pic:spPr>
                </pic:pic>
              </a:graphicData>
            </a:graphic>
          </wp:inline>
        </w:drawing>
      </w:r>
    </w:p>
    <w:p w14:paraId="1201C360">
      <w:pPr>
        <w:spacing w:line="360" w:lineRule="auto"/>
        <w:ind w:firstLine="640" w:firstLineChars="200"/>
        <w:jc w:val="righ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天津</w:t>
      </w:r>
      <w:r>
        <w:rPr>
          <w:rFonts w:hint="eastAsia" w:ascii="Times New Roman" w:hAnsi="Times New Roman" w:eastAsia="仿宋_GB2312" w:cs="Times New Roman"/>
          <w:sz w:val="32"/>
          <w:szCs w:val="32"/>
          <w:lang w:val="en-US" w:eastAsia="zh-CN"/>
        </w:rPr>
        <w:t>东丽经济技术开发区管理委员会</w:t>
      </w:r>
    </w:p>
    <w:p w14:paraId="1F3BF94B">
      <w:pPr>
        <w:spacing w:line="360" w:lineRule="auto"/>
        <w:ind w:firstLine="640" w:firstLineChars="200"/>
        <w:jc w:val="right"/>
        <w:rPr>
          <w:rFonts w:ascii="Times New Roman" w:hAnsi="Times New Roman" w:eastAsia="仿宋_GB2312" w:cs="Times New Roman"/>
          <w:b w:val="0"/>
          <w:bCs w:val="0"/>
          <w:sz w:val="32"/>
          <w:szCs w:val="32"/>
        </w:rPr>
      </w:pPr>
      <w:bookmarkStart w:id="3" w:name="_GoBack"/>
      <w:r>
        <w:rPr>
          <w:rFonts w:ascii="Times New Roman" w:hAnsi="Times New Roman" w:eastAsia="仿宋_GB2312" w:cs="Times New Roman"/>
          <w:b w:val="0"/>
          <w:bCs w:val="0"/>
          <w:sz w:val="32"/>
          <w:szCs w:val="32"/>
        </w:rPr>
        <w:t xml:space="preserve"> </w:t>
      </w:r>
      <w:r>
        <w:rPr>
          <w:rFonts w:ascii="Times New Roman" w:hAnsi="Times New Roman" w:eastAsia="仿宋_GB2312" w:cs="Times New Roman"/>
          <w:b w:val="0"/>
          <w:bCs w:val="0"/>
          <w:sz w:val="32"/>
          <w:szCs w:val="32"/>
          <w:highlight w:val="none"/>
        </w:rPr>
        <w:t>2025年6月</w:t>
      </w:r>
      <w:r>
        <w:rPr>
          <w:rFonts w:hint="eastAsia" w:ascii="Times New Roman" w:hAnsi="Times New Roman" w:eastAsia="仿宋_GB2312" w:cs="Times New Roman"/>
          <w:b w:val="0"/>
          <w:bCs w:val="0"/>
          <w:sz w:val="32"/>
          <w:szCs w:val="32"/>
          <w:highlight w:val="none"/>
          <w:lang w:val="en-US" w:eastAsia="zh-CN"/>
        </w:rPr>
        <w:t>12</w:t>
      </w:r>
      <w:r>
        <w:rPr>
          <w:rFonts w:ascii="Times New Roman" w:hAnsi="Times New Roman" w:eastAsia="仿宋_GB2312" w:cs="Times New Roman"/>
          <w:b w:val="0"/>
          <w:bCs w:val="0"/>
          <w:sz w:val="32"/>
          <w:szCs w:val="32"/>
          <w:highlight w:val="none"/>
        </w:rPr>
        <w:t>日</w:t>
      </w:r>
    </w:p>
    <w:bookmarkEnd w:id="3"/>
    <w:p w14:paraId="36582415">
      <w:pPr>
        <w:jc w:val="center"/>
        <w:rPr>
          <w:rFonts w:ascii="Times New Roman" w:hAnsi="Times New Roman" w:eastAsia="仿宋_GB2312" w:cs="Times New Roman"/>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93376"/>
    <w:multiLevelType w:val="multilevel"/>
    <w:tmpl w:val="5A193376"/>
    <w:lvl w:ilvl="0" w:tentative="0">
      <w:start w:val="1"/>
      <w:numFmt w:val="japaneseCounting"/>
      <w:lvlText w:val="%1、"/>
      <w:lvlJc w:val="left"/>
      <w:pPr>
        <w:ind w:left="600" w:hanging="60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DDB"/>
    <w:rsid w:val="000009B5"/>
    <w:rsid w:val="00064E10"/>
    <w:rsid w:val="00094766"/>
    <w:rsid w:val="000E7D15"/>
    <w:rsid w:val="001042C6"/>
    <w:rsid w:val="00104BC6"/>
    <w:rsid w:val="00157C11"/>
    <w:rsid w:val="0016633A"/>
    <w:rsid w:val="00184EC2"/>
    <w:rsid w:val="001C1B9D"/>
    <w:rsid w:val="001F2A57"/>
    <w:rsid w:val="001F3CE1"/>
    <w:rsid w:val="00202DCE"/>
    <w:rsid w:val="00204235"/>
    <w:rsid w:val="002232C0"/>
    <w:rsid w:val="00236B2E"/>
    <w:rsid w:val="00272B40"/>
    <w:rsid w:val="002A243E"/>
    <w:rsid w:val="002B0EC9"/>
    <w:rsid w:val="002C5FF7"/>
    <w:rsid w:val="002E2A63"/>
    <w:rsid w:val="00345844"/>
    <w:rsid w:val="00366E7C"/>
    <w:rsid w:val="003714AF"/>
    <w:rsid w:val="0039410C"/>
    <w:rsid w:val="003B2999"/>
    <w:rsid w:val="003E0D8F"/>
    <w:rsid w:val="004174D7"/>
    <w:rsid w:val="004326C1"/>
    <w:rsid w:val="00440967"/>
    <w:rsid w:val="0046247F"/>
    <w:rsid w:val="0048223A"/>
    <w:rsid w:val="00487EBD"/>
    <w:rsid w:val="004A6C9E"/>
    <w:rsid w:val="004D14DB"/>
    <w:rsid w:val="004D48E8"/>
    <w:rsid w:val="005002D9"/>
    <w:rsid w:val="00517BB4"/>
    <w:rsid w:val="005217FB"/>
    <w:rsid w:val="00533D49"/>
    <w:rsid w:val="00534FB8"/>
    <w:rsid w:val="005A058C"/>
    <w:rsid w:val="005A1A64"/>
    <w:rsid w:val="005B3FDF"/>
    <w:rsid w:val="005D1665"/>
    <w:rsid w:val="005D28F3"/>
    <w:rsid w:val="00616314"/>
    <w:rsid w:val="00622322"/>
    <w:rsid w:val="006315CF"/>
    <w:rsid w:val="00633EE4"/>
    <w:rsid w:val="00670709"/>
    <w:rsid w:val="0067447A"/>
    <w:rsid w:val="006749D9"/>
    <w:rsid w:val="00684F64"/>
    <w:rsid w:val="0068771F"/>
    <w:rsid w:val="00694B3E"/>
    <w:rsid w:val="006A61FE"/>
    <w:rsid w:val="006C7140"/>
    <w:rsid w:val="00706297"/>
    <w:rsid w:val="00715D37"/>
    <w:rsid w:val="00747A75"/>
    <w:rsid w:val="007529C5"/>
    <w:rsid w:val="007B17BD"/>
    <w:rsid w:val="007F370D"/>
    <w:rsid w:val="0085757D"/>
    <w:rsid w:val="00885CB6"/>
    <w:rsid w:val="008D78B3"/>
    <w:rsid w:val="0090440E"/>
    <w:rsid w:val="009A3CD7"/>
    <w:rsid w:val="009A5B88"/>
    <w:rsid w:val="009E4D47"/>
    <w:rsid w:val="009F25BC"/>
    <w:rsid w:val="009F72B9"/>
    <w:rsid w:val="00A05BAF"/>
    <w:rsid w:val="00A104F4"/>
    <w:rsid w:val="00A71D81"/>
    <w:rsid w:val="00A7412C"/>
    <w:rsid w:val="00A93BA4"/>
    <w:rsid w:val="00AA66A3"/>
    <w:rsid w:val="00AB0DDB"/>
    <w:rsid w:val="00B24790"/>
    <w:rsid w:val="00BD347C"/>
    <w:rsid w:val="00C017E1"/>
    <w:rsid w:val="00C16F1C"/>
    <w:rsid w:val="00C26A81"/>
    <w:rsid w:val="00C85975"/>
    <w:rsid w:val="00D458B7"/>
    <w:rsid w:val="00D459E9"/>
    <w:rsid w:val="00D51F47"/>
    <w:rsid w:val="00D640B2"/>
    <w:rsid w:val="00DC5DF9"/>
    <w:rsid w:val="00DD79EB"/>
    <w:rsid w:val="00DE0C85"/>
    <w:rsid w:val="00DF26A2"/>
    <w:rsid w:val="00E2258C"/>
    <w:rsid w:val="00E358A7"/>
    <w:rsid w:val="00E461A2"/>
    <w:rsid w:val="00E53A44"/>
    <w:rsid w:val="00E64A4E"/>
    <w:rsid w:val="00E82427"/>
    <w:rsid w:val="00E8268A"/>
    <w:rsid w:val="00E97BBE"/>
    <w:rsid w:val="00EA6194"/>
    <w:rsid w:val="00EB6B51"/>
    <w:rsid w:val="00EC5A20"/>
    <w:rsid w:val="00F10428"/>
    <w:rsid w:val="00F16FF5"/>
    <w:rsid w:val="00F57FFC"/>
    <w:rsid w:val="00FB2D7C"/>
    <w:rsid w:val="00FC4517"/>
    <w:rsid w:val="00FD1B30"/>
    <w:rsid w:val="00FF5E58"/>
    <w:rsid w:val="210D017E"/>
    <w:rsid w:val="32AF3856"/>
    <w:rsid w:val="34BE6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cjk"/>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未处理的提及1"/>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1262</Words>
  <Characters>1335</Characters>
  <Lines>10</Lines>
  <Paragraphs>2</Paragraphs>
  <TotalTime>0</TotalTime>
  <ScaleCrop>false</ScaleCrop>
  <LinksUpToDate>false</LinksUpToDate>
  <CharactersWithSpaces>1336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2025-06-03T07:57:00Z</dcterms:created>
  <dc:creator>崔绍月</dc:creator>
  <cp:lastModifiedBy>咸鱼</cp:lastModifiedBy>
  <dcterms:modified xsi:type="dcterms:W3CDTF">2025-06-12T08:05:56Z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eyJoZGlkIjoiNWJkNjc0MmQzZTQxZmE4MWYzOTE3YWNlMzNiNGZkODciLCJ1c2VySWQiOiIyODUxMzk4MTYifQ==</vt:lpwstr>
  </property>
  <property fmtid="{D5CDD505-2E9C-101B-9397-08002B2CF9AE}" pid="3" name="KSOProductBuildVer">
    <vt:lpwstr>2052-12.1.0.21171</vt:lpwstr>
  </property>
  <property fmtid="{D5CDD505-2E9C-101B-9397-08002B2CF9AE}" pid="4" name="ICV">
    <vt:lpwstr>EAD22D506AE94A1F8EA3A0D100198948_12</vt:lpwstr>
  </property>
</Properties>
</file>